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B4" w:rsidRPr="009D38B4" w:rsidRDefault="009D38B4" w:rsidP="009D38B4">
      <w:pPr>
        <w:widowControl/>
        <w:shd w:val="clear" w:color="auto" w:fill="577798"/>
        <w:spacing w:line="312" w:lineRule="atLeast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9"/>
          <w:szCs w:val="39"/>
        </w:rPr>
      </w:pPr>
      <w:r w:rsidRPr="009D38B4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兩岸經貿不易平順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/>
          <w:color w:val="666666"/>
          <w:kern w:val="0"/>
          <w:sz w:val="18"/>
          <w:szCs w:val="18"/>
        </w:rPr>
      </w:pPr>
      <w:bookmarkStart w:id="0" w:name="_GoBack"/>
      <w:bookmarkEnd w:id="0"/>
      <w:r w:rsidRPr="009D38B4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2014年07月31日 04:10 </w:t>
      </w:r>
      <w:hyperlink r:id="rId5" w:history="1">
        <w:r w:rsidRPr="009D38B4">
          <w:rPr>
            <w:rFonts w:ascii="微軟正黑體" w:eastAsia="微軟正黑體" w:hAnsi="微軟正黑體" w:cs="新細明體" w:hint="eastAsia"/>
            <w:color w:val="3366CC"/>
            <w:kern w:val="0"/>
            <w:sz w:val="18"/>
            <w:szCs w:val="18"/>
            <w:u w:val="single"/>
            <w:bdr w:val="none" w:sz="0" w:space="0" w:color="auto" w:frame="1"/>
          </w:rPr>
          <w:t>旺報</w:t>
        </w:r>
      </w:hyperlink>
      <w:r w:rsidRPr="009D38B4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 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</w:pPr>
      <w:r w:rsidRPr="009D38B4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戴東清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經貿國是會議日前落幕，分別就區域經濟整合、兩岸經貿往來、縮小弱勢範圍、推動稅制改革、青年創業及扶植社會企業等方面，達成了37項共同意見與多數意見。其中除了兩岸經貿往來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攸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關兩岸關係的敏感神經，以及稅制改革因涉及政府整體稅收平衡，恐一時難以具體落實外，其餘各項依序落實的難度不大。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風險紅皮書降疑慮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此次召開經貿國際會議，是為因應《服貿協議》所引發之學運，因此會議能否取得既能促進台灣經濟發展，又能兼顧台灣經濟安全的兩岸經貿往來共同意見，就顯得十分關鍵。不過因為在野黨人士及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太陽花學運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領袖並未參與會議，所以會議共同意見若要付諸實施，只能透過將政府政策與資訊公開化，直接和民眾溝通，爭取民意支持，否則要落實共同意見的難度頗高。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在兩岸經貿往來的共同意見中，提出「兩岸協作、全球整合、透明監督、有效管理」經貿策略定位的必要性不大，畢竟上述定位都是已經在執行了。至於呼籲立法院盡速通過《兩岸協議監督條例》、《服貿協議》盡速生效，盡早完成《貨貿協議》談判等，行政部門能夠著力之處也非常有限，立法院若是不動，再多共同意見，也無濟於事。顯示兩岸經貿共同意見落實的難度不小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儘管如此，每年發布「兩岸風險紅皮書」，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綜整相關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機關對於兩岸貿易、投資與出口依賴度等，以及政治風險等項目供各界參考的共同意見，是有創意的見解。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日前在諸多反對《服貿協議》的聲音中，認為政府未做好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兩岸服貿的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產業衝擊評估屬最大宗。民眾認為台灣經貿過於依賴大陸，這樣的疑慮不是一句「利大於弊」就可消減。具體的風險評估分析報告，確實有助降低民眾疑慮。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此外，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成立「國家媒體提案中心」，將政府政策與資訊公開化，直接和民眾溝通；公共政策的制訂也將建立網路社群參與的標準作業程序或常態性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公民線上討論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平台，亦有其必要性。政策溝通過去是政府最弱的一環，若能藉此強化兩岸經貿發展的政策說明，亦有利於降低民眾對於經貿背後是否有政治陰謀的想像。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另一方面，民進黨發言人宣布將於下月舉辦「公民經濟會議」，廣徵在野黨、學界、智庫、公民團體參與；並強調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不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預設立場，要讓各種聲音、主張都可交換意見。民進黨不回應學運的要求舉行「公民憲政會議」，而是舉行與執</w:t>
      </w: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政黨類似的經貿會議，並且強調沒有預設立場，與執政黨較勁的意味濃厚。尤其是年底選舉將屆，亦有藉此展現其有能力發展經濟的意圖。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朝野分歧最大障礙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作為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準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執政黨，民進黨當然要提出本身的經貿發展見解，讓選民有不一樣的選擇。只是在全球化競爭愈來愈激烈的今天，周邊國家在世界貿易組織多邊談判停滯不前情況下，為增加競爭力，紛紛以雙邊自由貿易協定或經濟協議取而代之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南韓近年不僅與歐盟、美國完成自由貿易談判，亦將於2014年底完成與全球第二大經濟體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——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中國大陸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包含服貿在內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的自由貿易談判，就是最好範例。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台灣所面對的競爭環境不會因為執政政黨之不同，而有明顯差異。然而現今朝野政黨對於「從大陸走向世界」或「從世界走向大陸」存在根本性差異，使得原屬理性分析範疇的經貿發展，受到許多非理性因素的干擾。藉由簽訂經貿協議以增加競爭力刻不容緩，但為降低民眾對於兩岸經貿發展疑慮，進而成為支持簽訂經貿協議的後盾，耐心溝通仍是必要措施。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（作者為南華大學國際事務與企業學系副教授）</w:t>
      </w:r>
    </w:p>
    <w:p w:rsidR="009D38B4" w:rsidRPr="009D38B4" w:rsidRDefault="009D38B4" w:rsidP="009D38B4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(</w:t>
      </w:r>
      <w:proofErr w:type="gramStart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旺報</w:t>
      </w:r>
      <w:proofErr w:type="gramEnd"/>
      <w:r w:rsidRPr="009D38B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)</w:t>
      </w:r>
    </w:p>
    <w:p w:rsidR="00997B00" w:rsidRDefault="009D38B4" w:rsidP="009D38B4">
      <w:pPr>
        <w:spacing w:line="400" w:lineRule="exact"/>
      </w:pPr>
      <w:r w:rsidRPr="009D38B4">
        <w:t>https://www.chinatimes.com/newspapers/20140731001068-260310</w:t>
      </w:r>
    </w:p>
    <w:sectPr w:rsidR="00997B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4"/>
    <w:rsid w:val="001F257B"/>
    <w:rsid w:val="00361B9D"/>
    <w:rsid w:val="008A7667"/>
    <w:rsid w:val="00926346"/>
    <w:rsid w:val="009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D38B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8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38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D38B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D38B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8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38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D38B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natimes.com/newspapers/2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daydc</dc:creator>
  <cp:lastModifiedBy>daydc</cp:lastModifiedBy>
  <cp:revision>1</cp:revision>
  <dcterms:created xsi:type="dcterms:W3CDTF">2018-12-20T14:52:00Z</dcterms:created>
  <dcterms:modified xsi:type="dcterms:W3CDTF">2018-12-20T14:53:00Z</dcterms:modified>
</cp:coreProperties>
</file>